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ПИКСУРСКОГО СЕЛЬСКОГО ПОСЕЛЕНИЯ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ДАРОВСКОГО РАЙОНА КИРОВСКОЙ ОБЛАСТИ</w:t>
      </w:r>
    </w:p>
    <w:p>
      <w:pPr>
        <w:tabs>
          <w:tab w:val="left" w:pos="4537"/>
        </w:tabs>
        <w:spacing w:after="36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</w:pPr>
    </w:p>
    <w:p>
      <w:pPr>
        <w:tabs>
          <w:tab w:val="left" w:pos="4537"/>
        </w:tabs>
        <w:spacing w:after="36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>
      <w:pPr>
        <w:tabs>
          <w:tab w:val="left" w:pos="4537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20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.09.2023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51</w:t>
      </w:r>
    </w:p>
    <w:p>
      <w:pPr>
        <w:tabs>
          <w:tab w:val="left" w:pos="4537"/>
        </w:tabs>
        <w:spacing w:after="48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с. Пиксур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36"/>
        <w:gridCol w:w="479"/>
        <w:gridCol w:w="2103"/>
        <w:gridCol w:w="567"/>
        <w:gridCol w:w="1387"/>
        <w:gridCol w:w="28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284" w:type="dxa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auto" w:fill="FFFFFF"/>
              <w:spacing w:after="48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 утверждении Положения о комиссии по поступлению и выбытию активов, наделяющего её полномочиями на принятие решения о списании дебиторской задолженности, в том числе по платежам в бюджет, пеням и штрафам по ним</w:t>
            </w:r>
          </w:p>
          <w:p>
            <w:pPr>
              <w:spacing w:after="0" w:line="360" w:lineRule="auto"/>
              <w:ind w:firstLine="840" w:firstLineChars="3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 соответствии со статьей 47.2 Бюджетного кодекса Российской Федерации, постановлением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Правительства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администрация Пиксурского сельского поселения ПОСТАНОВЛЯЕТ:  </w:t>
            </w:r>
          </w:p>
          <w:p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360" w:lineRule="auto"/>
              <w:ind w:left="29" w:leftChars="0" w:firstLine="851" w:firstLine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Утвердить Положение о комиссии по поступлению и выбытию активов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наделяющего её полномочиями на принятие решения о списании дебиторской задолженности, в том числе по платежам в бюджет, пеням и штрафам по ним. </w:t>
            </w:r>
          </w:p>
          <w:p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360" w:lineRule="auto"/>
              <w:ind w:left="29" w:leftChars="0" w:firstLine="851" w:firstLine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Контроль за исполнением постановления оставляю за собой.</w:t>
            </w:r>
          </w:p>
          <w:p>
            <w:pPr>
              <w:numPr>
                <w:ilvl w:val="0"/>
                <w:numId w:val="1"/>
              </w:numPr>
              <w:tabs>
                <w:tab w:val="left" w:pos="0"/>
              </w:tabs>
              <w:spacing w:after="720" w:line="360" w:lineRule="auto"/>
              <w:ind w:left="29" w:leftChars="0" w:firstLine="851" w:firstLine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Настоящее постановление вступает в силу со дня его официального опубликования.</w:t>
            </w:r>
          </w:p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.о. главы администрации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Пиксурского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сельского поселения 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             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Н.Л.Костина</w:t>
            </w:r>
          </w:p>
          <w:p>
            <w:pPr>
              <w:widowControl w:val="0"/>
              <w:tabs>
                <w:tab w:val="left" w:pos="590"/>
              </w:tabs>
              <w:spacing w:after="48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ПОДГОТОВЛЕНО</w:t>
            </w:r>
          </w:p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Ведущий с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пециалист  администрации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Пиксурского сельского поселения                 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Н.Л. Костина</w:t>
            </w:r>
          </w:p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Разослать: подлинный экземпляр, прокуратура</w:t>
            </w: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480" w:after="48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9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Костина Надежда Леонидовна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9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(83336)5-42-44</w:t>
            </w:r>
          </w:p>
          <w:p>
            <w:pPr>
              <w:numPr>
                <w:numId w:val="0"/>
              </w:numPr>
              <w:tabs>
                <w:tab w:val="left" w:pos="0"/>
              </w:tabs>
              <w:spacing w:after="720" w:line="360" w:lineRule="auto"/>
              <w:ind w:left="880" w:lef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284" w:type="dxa"/>
          <w:trHeight w:val="137" w:hRule="atLeast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0"/>
              </w:tabs>
              <w:spacing w:after="720" w:line="360" w:lineRule="auto"/>
              <w:ind w:left="1571" w:leftChars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4536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gridSpan w:val="5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Приложение № 1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постановлением администрации Пиксурского сельского </w:t>
            </w:r>
          </w:p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поселения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Даровского района Кировской области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4536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03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0.09.2023</w:t>
            </w:r>
          </w:p>
        </w:tc>
        <w:tc>
          <w:tcPr>
            <w:tcW w:w="567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71" w:type="dxa"/>
            <w:gridSpan w:val="2"/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51</w:t>
            </w:r>
          </w:p>
        </w:tc>
      </w:tr>
    </w:tbl>
    <w:p>
      <w:pPr>
        <w:spacing w:after="0" w:line="10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Положение о комиссии по поступлению и выбытию активов, наделяющего её полномочиями на принятие решения о списании дебиторской задолженности, в том числе по платежам в бюджет, пеням и штрафам по ним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1.1. Состав постоянно действующей комиссии по поступлению и выбытию активов (далее - комиссия) утверждается отдельным распоряжением руководителя.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1.2. 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1.3. Комиссия проводит заседания по мере необходимости.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1.4. Комиссия принимает решения по поступлению и выбытию нефинансовых активов, списанию задолженности неплатежеспособных дебиторов.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1.5. Срок рассмотрения комиссией представленных ей документов не должен превышать 14 календарных дней.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1.6. Решение комиссии считается правомочным при наличии не менее 2/3 ее состава.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1.7. В случае отсутствия в учреждении работников, обладающих специальными знаниями, для участия в заседаниях комиссии могут приглашаться эксперты. Они включаются в состав комиссии на добровольной основе.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1.8. Экспертом не может быть работник учреждения, отвечающий за материальные ценности, в отношении которых принимается решение о списании.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1.9. Решение комиссии оформляется протоколом, который подписывают председатель и члены комиссии, присутствовавшие на заседании. Также комиссия оформляет соответствующие акты о поступлении и выбытии активов.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Принятие решений по поступлению активов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2.1. В части поступления активов комиссия осуществляет следующие полномочия:</w:t>
      </w:r>
    </w:p>
    <w:p>
      <w:pPr>
        <w:widowControl w:val="0"/>
        <w:numPr>
          <w:ilvl w:val="0"/>
          <w:numId w:val="2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визуальное выявление при приемке активов ненадлежащих качеств;</w:t>
      </w:r>
    </w:p>
    <w:p>
      <w:pPr>
        <w:widowControl w:val="0"/>
        <w:numPr>
          <w:ilvl w:val="0"/>
          <w:numId w:val="2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определение того, к какой категории нефинансовых активов относится актив (основные средства, нематериальные активы, непроизведенные активы или материальные запасы);</w:t>
      </w:r>
    </w:p>
    <w:p>
      <w:pPr>
        <w:widowControl w:val="0"/>
        <w:numPr>
          <w:ilvl w:val="0"/>
          <w:numId w:val="2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определение справедливой стоимости безвозмездно полученного имущества и иного имущества в установленных случаях;</w:t>
      </w:r>
    </w:p>
    <w:p>
      <w:pPr>
        <w:widowControl w:val="0"/>
        <w:numPr>
          <w:ilvl w:val="0"/>
          <w:numId w:val="2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определение первоначальной стоимости и метода амортизации поступивших объектов нефинансовых активов;</w:t>
      </w:r>
    </w:p>
    <w:p>
      <w:pPr>
        <w:widowControl w:val="0"/>
        <w:numPr>
          <w:ilvl w:val="0"/>
          <w:numId w:val="2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производителя;</w:t>
      </w:r>
    </w:p>
    <w:p>
      <w:pPr>
        <w:widowControl w:val="0"/>
        <w:numPr>
          <w:ilvl w:val="0"/>
          <w:numId w:val="2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изменение первоначально принятых нормативных показателей функционирования объекта основных средств, в том числе в результате проведенной достройки, дооборудования, реконструкции или модернизации;</w:t>
      </w:r>
    </w:p>
    <w:p>
      <w:pPr>
        <w:widowControl w:val="0"/>
        <w:numPr>
          <w:ilvl w:val="0"/>
          <w:numId w:val="2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контроль за обозначением материально ответственными лицами инвентарных номеров на объектах основных средств.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2.2. При принятии к учету объектов имущества комиссия проверяет наличие:</w:t>
      </w:r>
    </w:p>
    <w:p>
      <w:pPr>
        <w:widowControl w:val="0"/>
        <w:numPr>
          <w:ilvl w:val="0"/>
          <w:numId w:val="3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сопроводительных документов, технической документации;</w:t>
      </w:r>
    </w:p>
    <w:p>
      <w:pPr>
        <w:widowControl w:val="0"/>
        <w:numPr>
          <w:ilvl w:val="0"/>
          <w:numId w:val="3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приспособлений, принадлежностей, составных частей поступающего имущества в соответствии с данными указанных документов.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2.3. Первоначальной стоимостью нефинансовых активов признается их справедливая стоимость на дату принятия к бухгалтерскому учету:</w:t>
      </w:r>
    </w:p>
    <w:p>
      <w:pPr>
        <w:widowControl w:val="0"/>
        <w:numPr>
          <w:ilvl w:val="0"/>
          <w:numId w:val="4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поступивших по договорам дарения, пожертвования;</w:t>
      </w:r>
    </w:p>
    <w:p>
      <w:pPr>
        <w:widowControl w:val="0"/>
        <w:numPr>
          <w:ilvl w:val="0"/>
          <w:numId w:val="4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оприходованных в виде излишков, выявленных при инвентаризации.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Справедливая стоимость имущества определяется комиссией методом рыночных цен, а при невозможности использовать его - методом амортизированной стоимости замещения.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2.4. Размер ущерба определяется в зависимости от причиненного вреда:</w:t>
      </w:r>
    </w:p>
    <w:p>
      <w:pPr>
        <w:widowControl w:val="0"/>
        <w:numPr>
          <w:ilvl w:val="0"/>
          <w:numId w:val="5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виде потерь от порчи материальных ценностей, других сумм причиненного ущерба имуществу - как стоимость восстановления (воспроизводства) испорченного имущества;</w:t>
      </w:r>
    </w:p>
    <w:p>
      <w:pPr>
        <w:widowControl w:val="0"/>
        <w:numPr>
          <w:ilvl w:val="0"/>
          <w:numId w:val="5"/>
        </w:numPr>
        <w:tabs>
          <w:tab w:val="left" w:pos="540"/>
        </w:tabs>
        <w:spacing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от недостач, хищений, подлежащих возмещению виновными лицами, - как справедливая стоимость имущества на день обнаружения ущерба.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2.5. В случае достройки, реконструкции,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объекты.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Комиссия оформляет акт приема-сдачи отремонтированных, реконструированных и модернизированных объектов основных средств </w:t>
      </w:r>
      <w:r>
        <w:fldChar w:fldCharType="begin"/>
      </w:r>
      <w:r>
        <w:instrText xml:space="preserve"> HYPERLINK "consultantplus://offline/ref=44F665F984F9A366000103BF7997D59B54F0445969C2C129898290BD9B253A941606C5AFD2DA26D2CBEF4802B1D5A00D5A71E179A4EF8EF113s6F" \o "consultantplus://offline/ref=44F665F984F9A366000103BF7997D59B54F0445969C2C129898290BD9B253A941606C5AFD2DA26D2CBEF4802B1D5A00D5A71E179A4EF8EF113s6F"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0504103)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</w:t>
      </w:r>
    </w:p>
    <w:p>
      <w:pPr>
        <w:widowControl w:val="0"/>
        <w:numPr>
          <w:ilvl w:val="0"/>
          <w:numId w:val="6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прием объектов основных средств из ремонта, реконструкции, модернизации;</w:t>
      </w:r>
    </w:p>
    <w:p>
      <w:pPr>
        <w:widowControl w:val="0"/>
        <w:numPr>
          <w:ilvl w:val="0"/>
          <w:numId w:val="6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частичную ликвидацию объекта основных средств при выполнении работ по его реконструкции.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2.6. Комиссия пересматривает срок полезного использования по объекту основных средств в случае изменения первоначально принятых нормативных показателей функционирования объекта, в том числе в результате проведенной достройки, дооборудования, реконструкции или модернизации.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2.7. Инвентарный номер, который присваивается объекту, наносится лицом, ответственным за сохранность или использование по назначению объекта имущества (далее - ответственное лицо) в присутствии уполномоченного члена комиссии.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2.8. Комиссия оформляет поступление нефинансовых активов следующими первичными учетными документами:</w:t>
      </w:r>
    </w:p>
    <w:p>
      <w:pPr>
        <w:widowControl w:val="0"/>
        <w:numPr>
          <w:ilvl w:val="0"/>
          <w:numId w:val="7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актом о приеме-передаче объектов нефинансовых активов </w:t>
      </w:r>
      <w:r>
        <w:fldChar w:fldCharType="begin"/>
      </w:r>
      <w:r>
        <w:instrText xml:space="preserve"> HYPERLINK "consultantplus://offline/ref=44F665F984F9A366000103BF7997D59B54F0445969C2C129898290BD9B253A941606C5AFD2DA24D4C9EF4802B1D5A00D5A71E179A4EF8EF113s6F" \o "consultantplus://offline/ref=44F665F984F9A366000103BF7997D59B54F0445969C2C129898290BD9B253A941606C5AFD2DA24D4C9EF4802B1D5A00D5A71E179A4EF8EF113s6F"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0504101)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поступление объектов нефинансовых активов от учреждений, организаций (иных правообладателей);</w:t>
      </w:r>
    </w:p>
    <w:p>
      <w:pPr>
        <w:widowControl w:val="0"/>
        <w:numPr>
          <w:ilvl w:val="0"/>
          <w:numId w:val="7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приходным ордером на приемку материальных ценностей (нефинансовых активов) </w:t>
      </w:r>
      <w:r>
        <w:fldChar w:fldCharType="begin"/>
      </w:r>
      <w:r>
        <w:instrText xml:space="preserve"> HYPERLINK "consultantplus://offline/ref=44F665F984F9A366000103BF7997D59B54F0445969C2C129898290BD9B253A941606C5AFD2DB25DBCCEF4802B1D5A00D5A71E179A4EF8EF113s6F" \o "consultantplus://offline/ref=44F665F984F9A366000103BF7997D59B54F0445969C2C129898290BD9B253A941606C5AFD2DB25DBCCEF4802B1D5A00D5A71E179A4EF8EF113s6F"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0504207)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поступление материальных ценностей (в том числе основных средств, материальных запасов);</w:t>
      </w:r>
    </w:p>
    <w:p>
      <w:pPr>
        <w:widowControl w:val="0"/>
        <w:numPr>
          <w:ilvl w:val="0"/>
          <w:numId w:val="7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актом приемки материалов (материальных ценностей) </w:t>
      </w:r>
      <w:r>
        <w:fldChar w:fldCharType="begin"/>
      </w:r>
      <w:r>
        <w:instrText xml:space="preserve"> HYPERLINK "consultantplus://offline/ref=44F665F984F9A366000103BF7997D59B54F0445969C2C129898290BD9B253A941606C5AFD2DB24DAC8EF4802B1D5A00D5A71E179A4EF8EF113s6F" \o "consultantplus://offline/ref=44F665F984F9A366000103BF7997D59B54F0445969C2C129898290BD9B253A941606C5AFD2DB24DAC8EF4802B1D5A00D5A71E179A4EF8EF113s6F"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0504220)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при приемке материальных ценностей, в случае выявления расхождений в количестве или качестве с данными поставщика, несоответствия ассортимента сопроводительным документам, если материальные ценности поступили без документов.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3. Принятие решений по выбытию (списанию) активов и списанию задолженности неплатежеспособных дебиторов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3.1. В части выбытия (списания) активов и задолженности комиссия осуществляет следующие полномочия: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принятие решения о выбытии (списании) нефинансовых активов (в том числе объектов движимого имущества стоимостью до 10 000 руб. включительно, учитываемых на забалансовом </w:t>
      </w:r>
      <w:r>
        <w:fldChar w:fldCharType="begin"/>
      </w:r>
      <w:r>
        <w:instrText xml:space="preserve"> HYPERLINK "consultantplus://offline/ref=44F665F984F9A366000103BF7997D59B53F3465E63C0C129898290BD9B253A941606C5AFD2D826D4CAEF4802B1D5A00D5A71E179A4EF8EF113s6F" \o "consultantplus://offline/ref=44F665F984F9A366000103BF7997D59B53F3465E63C0C129898290BD9B253A941606C5AFD2D826D4CAEF4802B1D5A00D5A71E179A4EF8EF113s6F"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счете 21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);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установление причин списания имущества;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возможность использовать отдельные узлы, детали, конструкции и материалы, полученные в результате списания объектов нефинансовых активов;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контроль за изъятием из списываемого имущества пригодных узлов, деталей, конструкций и материалов;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частичная ликвидация (разукомплектация) основных средств;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определение стоимости выбывающей части актива при его частичной ликвидации;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дальнейшее использование имущества: пригодность, возможность и эффективность его восстановления;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установление лиц, которые виновны в списании имущества в результате нарушения условий содержания, эксплуатации, недостач, порчи, хищений;</w:t>
      </w:r>
    </w:p>
    <w:p>
      <w:pPr>
        <w:widowControl w:val="0"/>
        <w:numPr>
          <w:ilvl w:val="0"/>
          <w:numId w:val="8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списание задолженности неплатежеспособных дебиторов и списание с забалансового учета задолженности, признанной безнадежной к взысканию.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3.2. Комиссия принимает решение о выбытии (списании) имущества учреждения, если:</w:t>
      </w:r>
    </w:p>
    <w:p>
      <w:pPr>
        <w:widowControl w:val="0"/>
        <w:numPr>
          <w:ilvl w:val="0"/>
          <w:numId w:val="9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имущество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износа;</w:t>
      </w:r>
    </w:p>
    <w:p>
      <w:pPr>
        <w:widowControl w:val="0"/>
        <w:numPr>
          <w:ilvl w:val="0"/>
          <w:numId w:val="9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имущество выбыло из владения, пользования, распоряжения вследствие гибели или уничтожения, в том числе в результате хищения, недостачи, порчи, которые выявлены при инвентаризации, а также если невозможно выяснить его местонахождение;</w:t>
      </w:r>
    </w:p>
    <w:p>
      <w:pPr>
        <w:widowControl w:val="0"/>
        <w:numPr>
          <w:ilvl w:val="0"/>
          <w:numId w:val="9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имущество передается государственному (муниципальному) учреждению, органу государственной власти, местного самоуправления, государственному (муниципальному) предприятию;</w:t>
      </w:r>
    </w:p>
    <w:p>
      <w:pPr>
        <w:widowControl w:val="0"/>
        <w:numPr>
          <w:ilvl w:val="0"/>
          <w:numId w:val="9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других случаях, предусмотренных законодательством РФ.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3.3. Решение о списании имущества принимается комиссией после проведения следующих мероприятий:</w:t>
      </w:r>
    </w:p>
    <w:p>
      <w:pPr>
        <w:widowControl w:val="0"/>
        <w:numPr>
          <w:ilvl w:val="0"/>
          <w:numId w:val="10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осмотр имущества, подлежащего списанию;</w:t>
      </w:r>
    </w:p>
    <w:p>
      <w:pPr>
        <w:widowControl w:val="0"/>
        <w:numPr>
          <w:ilvl w:val="0"/>
          <w:numId w:val="10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установление причин списания имущества: износ физический, моральный, нарушение условий содержания и (или) эксплуатации, авария, ликвидация при реконструкции, иные причины;</w:t>
      </w:r>
    </w:p>
    <w:p>
      <w:pPr>
        <w:widowControl w:val="0"/>
        <w:numPr>
          <w:ilvl w:val="0"/>
          <w:numId w:val="10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выявление виновных лиц, действия которых привели к необходимости списать имущество до истечения срока его полезного использования;</w:t>
      </w:r>
    </w:p>
    <w:p>
      <w:pPr>
        <w:widowControl w:val="0"/>
        <w:numPr>
          <w:ilvl w:val="0"/>
          <w:numId w:val="10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подготовка документов, необходимых для согласования решения о списании имущества с учредителем, в том числе наличие технического заключения экспертов (при необходимости), наличие акта об аварии при списании имущества, выбывшего вследствие аварий.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3.4. Комиссия принимает решение о списании дебиторской задолженности при наличии документов, которые подтверждают неопределенность получения от нее экономических выгод или полезного потенциала:</w:t>
      </w:r>
    </w:p>
    <w:p>
      <w:pPr>
        <w:widowControl w:val="0"/>
        <w:numPr>
          <w:ilvl w:val="0"/>
          <w:numId w:val="11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случае признания задолженности неплатежеспособных дебиторов нереальной к взысканию комиссия принимает решение о списании такой задолженности на забалансовый учет;</w:t>
      </w:r>
    </w:p>
    <w:p>
      <w:pPr>
        <w:widowControl w:val="0"/>
        <w:numPr>
          <w:ilvl w:val="0"/>
          <w:numId w:val="11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случае признания задолженности безнадежной к взысканию - решение о списании задолженности с забалансового счета 04.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3.5. Комиссия передает в уполномоченный орган власти акт о списании имущества и иные документы, которые необходимы для согласования решения о списании имущества в случаях, установленных действующими нормативными правовыми актами.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3.6. Комиссия оформляет выбытие (списание) нефинансовых активов следующими первичными учетными документами:</w:t>
      </w:r>
    </w:p>
    <w:p>
      <w:pPr>
        <w:widowControl w:val="0"/>
        <w:numPr>
          <w:ilvl w:val="0"/>
          <w:numId w:val="12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актом о приеме-передаче объектов нефинансовых активов </w:t>
      </w:r>
      <w:r>
        <w:fldChar w:fldCharType="begin"/>
      </w:r>
      <w:r>
        <w:instrText xml:space="preserve"> HYPERLINK "consultantplus://offline/ref=44F665F984F9A366000103BF7997D59B54F0445969C2C129898290BD9B253A941606C5AFD2DA24D4C9EF4802B1D5A00D5A71E179A4EF8EF113s6F" \o "consultantplus://offline/ref=44F665F984F9A366000103BF7997D59B54F0445969C2C129898290BD9B253A941606C5AFD2DA24D4C9EF4802B1D5A00D5A71E179A4EF8EF113s6F"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0504101)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выбытие объектов нефинансовых активов при передаче их другому учреждению, организации, при изъятии собственником объектов нефинансовых активов из оперативного управления (хозяйственного ведения), иные случаи;</w:t>
      </w:r>
    </w:p>
    <w:p>
      <w:pPr>
        <w:widowControl w:val="0"/>
        <w:numPr>
          <w:ilvl w:val="0"/>
          <w:numId w:val="12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актом о списании объектов нефинансовых активов (кроме транспортных средств) </w:t>
      </w:r>
      <w:r>
        <w:fldChar w:fldCharType="begin"/>
      </w:r>
      <w:r>
        <w:instrText xml:space="preserve"> HYPERLINK "consultantplus://offline/ref=44F665F984F9A366000103BF7997D59B54F0445969C2C129898290BD9B253A941606C5AFD2DA26DACBEF4802B1D5A00D5A71E179A4EF8EF113s6F" \o "consultantplus://offline/ref=44F665F984F9A366000103BF7997D59B54F0445969C2C129898290BD9B253A941606C5AFD2DA26DACBEF4802B1D5A00D5A71E179A4EF8EF113s6F"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0504104)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списание основных средств (кроме автотранспортных средств), нематериальных активов, иных материальных ценностей (кроме сырья, материалов, а также готовой продукции, произведенной учреждением);</w:t>
      </w:r>
    </w:p>
    <w:p>
      <w:pPr>
        <w:widowControl w:val="0"/>
        <w:numPr>
          <w:ilvl w:val="0"/>
          <w:numId w:val="12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актом о списании транспортного средства </w:t>
      </w:r>
      <w:r>
        <w:fldChar w:fldCharType="begin"/>
      </w:r>
      <w:r>
        <w:instrText xml:space="preserve"> HYPERLINK "consultantplus://offline/ref=44F665F984F9A366000103BF7997D59B54F0445969C2C129898290BD9B253A941606C5AFD2DA21D5CEEF4802B1D5A00D5A71E179A4EF8EF113s6F" \o "consultantplus://offline/ref=44F665F984F9A366000103BF7997D59B54F0445969C2C129898290BD9B253A941606C5AFD2DA21D5CEEF4802B1D5A00D5A71E179A4EF8EF113s6F"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0504105)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списание одного объекта транспортного средства по причине технической неисправности, не подлежащей восстановлению, и других причин;</w:t>
      </w:r>
    </w:p>
    <w:p>
      <w:pPr>
        <w:widowControl w:val="0"/>
        <w:numPr>
          <w:ilvl w:val="0"/>
          <w:numId w:val="12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актом о списании мягкого и хозяйственного инвентаря </w:t>
      </w:r>
      <w:r>
        <w:fldChar w:fldCharType="begin"/>
      </w:r>
      <w:r>
        <w:instrText xml:space="preserve"> HYPERLINK "consultantplus://offline/ref=44F665F984F9A366000103BF7997D59B54F0445969C2C129898290BD9B253A941606C5AFD2DA20D6CDEF4802B1D5A00D5A71E179A4EF8EF113s6F" \o "consultantplus://offline/ref=44F665F984F9A366000103BF7997D59B54F0445969C2C129898290BD9B253A941606C5AFD2DA20D6CDEF4802B1D5A00D5A71E179A4EF8EF113s6F"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0504143)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списание мягкого инвентаря, посуды, а также однородных предметов производственного и хозяйственного инвентаря стоимостью от 10 000 руб. до 100 000 руб.;</w:t>
      </w:r>
    </w:p>
    <w:p>
      <w:pPr>
        <w:widowControl w:val="0"/>
        <w:numPr>
          <w:ilvl w:val="0"/>
          <w:numId w:val="12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актом о списании материальных запасов </w:t>
      </w:r>
      <w:r>
        <w:fldChar w:fldCharType="begin"/>
      </w:r>
      <w:r>
        <w:instrText xml:space="preserve"> HYPERLINK "consultantplus://offline/ref=44F665F984F9A366000103BF7997D59B54F0445969C2C129898290BD9B253A941606C5AFD2DB26D3CEEF4802B1D5A00D5A71E179A4EF8EF113s6F" \o "consultantplus://offline/ref=44F665F984F9A366000103BF7997D59B54F0445969C2C129898290BD9B253A941606C5AFD2DB26D3CEEF4802B1D5A00D5A71E179A4EF8EF113s6F"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0504230)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списание материальных запасов по причине расходования на нужды учреждения: использование в хозяйственной деятельности учреждения, использование для ремонта или создания нефинансовых активов, истечение срока годности и иные причины;</w:t>
      </w:r>
    </w:p>
    <w:p>
      <w:pPr>
        <w:widowControl w:val="0"/>
        <w:numPr>
          <w:ilvl w:val="0"/>
          <w:numId w:val="12"/>
        </w:numPr>
        <w:tabs>
          <w:tab w:val="left" w:pos="540"/>
        </w:tabs>
        <w:spacing w:before="220" w:after="0" w:line="240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актом о списании бланков строгой отчетности </w:t>
      </w:r>
      <w:r>
        <w:fldChar w:fldCharType="begin"/>
      </w:r>
      <w:r>
        <w:instrText xml:space="preserve"> HYPERLINK "consultantplus://offline/ref=44F665F984F9A366000103BF7997D59B54F0445969C2C129898290BD9B253A941606C5AFD2D827DAC8EF4802B1D5A00D5A71E179A4EF8EF113s6F" \o "consultantplus://offline/ref=44F665F984F9A366000103BF7997D59B54F0445969C2C129898290BD9B253A941606C5AFD2D827DAC8EF4802B1D5A00D5A71E179A4EF8EF113s6F"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t>(ф. 0504816)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списание бланков строгой отчетности в случае их порчи при заполнении, выдачи или недостачи (хищения) и т.п.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3.7. Акт о списании имущества утверждается руководителем. До утверждения в установленном порядке акта о списании реализация мероприятий, предусмотренных этим актом, не допускается.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3.8. Комиссия осуществляет контроль по утвержденному акту о списании имущества: за утилизацией, разбором, демонтажем имущества и т.п.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4. Принятие решений по обесценению активов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4.1. Комиссия выявляет признаки возможного обесценения или снижения убытка от обесценения активов.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4.2. В случае если выявленные признаки обесценения (снижения убытка) признаны существенными, то комиссия выносит заключение о необходимости определить справедливую стоимость каждого актива, по которому выявлены данные признаки.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Комиссия выбирает метод определения справедливой стоимости для каждого выявленного случая обесценения (снижения убытка) актива.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4.3. В случае если выявленные признаки обесценения (снижения убытка) признаны несущественными, то комиссия выносит заключение об отсутствии необходимости определить справедливую стоимость каждого актива, по которому выявлены данные признаки.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4.4. Комиссия оформляет заключение в виде акта для руководителя:</w:t>
      </w:r>
    </w:p>
    <w:p>
      <w:pPr>
        <w:widowControl w:val="0"/>
        <w:numPr>
          <w:ilvl w:val="0"/>
          <w:numId w:val="13"/>
        </w:numPr>
        <w:tabs>
          <w:tab w:val="left" w:pos="540"/>
        </w:tabs>
        <w:spacing w:before="220" w:after="160" w:line="256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 необходимости или об отсутствии необходимости определить справедливую стоимость;</w:t>
      </w:r>
    </w:p>
    <w:p>
      <w:pPr>
        <w:widowControl w:val="0"/>
        <w:numPr>
          <w:ilvl w:val="0"/>
          <w:numId w:val="13"/>
        </w:numPr>
        <w:tabs>
          <w:tab w:val="left" w:pos="540"/>
        </w:tabs>
        <w:spacing w:before="220" w:after="160" w:line="256" w:lineRule="auto"/>
        <w:ind w:left="1260" w:hanging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применяемом методе определения справедливой стоимости.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Также в акт могут быть внесены рекомендации по дальнейшему использованию имущества.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4.5. В случае если выявлены признаки снижения убытка от обесценения и сумма убытка не подлежит восстановлению, то комиссия выносит заключение о необходимости или об отсутствии необходимости скорректировать оставшийся срок полезного использования актива.</w:t>
      </w:r>
    </w:p>
    <w:p>
      <w:pPr>
        <w:widowControl w:val="0"/>
        <w:spacing w:before="220" w:after="0" w:line="240" w:lineRule="auto"/>
        <w:jc w:val="center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__________________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Приложение к Положению о комиссии</w:t>
      </w:r>
    </w:p>
    <w:p>
      <w:pPr>
        <w:widowControl w:val="0"/>
        <w:spacing w:before="220"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 поступлению и выбытию активов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Протокол от ___ ___________ 20___ г. N ___</w:t>
      </w:r>
    </w:p>
    <w:p>
      <w:pPr>
        <w:widowControl w:val="0"/>
        <w:spacing w:before="220"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заседания постоянно действующей комиссии</w:t>
      </w:r>
    </w:p>
    <w:p>
      <w:pPr>
        <w:widowControl w:val="0"/>
        <w:spacing w:before="220"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по поступлению и выбытию активов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основании распоряжения от "___" _______ 20 ___ г. № ______ постоянно действующая комиссия по поступлению и выбытию активов в составе: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Председатель комиссии: 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Члены комиссии: 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Повестка дня: 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Комиссия заслушала доклад: 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Предложено: 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 основании представленных документов: 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Комиссия постановила: 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Председатель комиссии: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61"/>
        <w:gridCol w:w="567"/>
        <w:gridCol w:w="2662"/>
        <w:gridCol w:w="567"/>
        <w:gridCol w:w="2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blCellSpacing w:w="0" w:type="dxa"/>
        </w:trPr>
        <w:tc>
          <w:tcPr>
            <w:tcW w:w="306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(расшифровка)</w:t>
            </w:r>
          </w:p>
        </w:tc>
      </w:tr>
    </w:tbl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Члены комиссии:</w:t>
      </w:r>
    </w:p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61"/>
        <w:gridCol w:w="567"/>
        <w:gridCol w:w="2662"/>
        <w:gridCol w:w="567"/>
        <w:gridCol w:w="22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blCellSpacing w:w="0" w:type="dxa"/>
        </w:trPr>
        <w:tc>
          <w:tcPr>
            <w:tcW w:w="306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(расшифровка)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blCellSpacing w:w="0" w:type="dxa"/>
        </w:trPr>
        <w:tc>
          <w:tcPr>
            <w:tcW w:w="306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(расшифровка)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blCellSpacing w:w="0" w:type="dxa"/>
        </w:trPr>
        <w:tc>
          <w:tcPr>
            <w:tcW w:w="306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2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(расшифровка)</w:t>
            </w:r>
          </w:p>
        </w:tc>
      </w:tr>
    </w:tbl>
    <w:p>
      <w:pPr>
        <w:widowControl w:val="0"/>
        <w:spacing w:before="2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"____" ___________ 20___ г.</w:t>
      </w:r>
    </w:p>
    <w:p/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1134" w:right="850" w:bottom="1134" w:left="1701" w:header="708" w:footer="0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677"/>
        <w:tab w:val="right" w:pos="9355"/>
        <w:tab w:val="clear" w:pos="4153"/>
        <w:tab w:val="clear" w:pos="8306"/>
      </w:tabs>
      <w:rPr>
        <w:rFonts w:hint="default" w:ascii="Times New Roman" w:hAnsi="Times New Roman" w:cs="Times New Roman"/>
        <w:lang w:val="ru-RU"/>
      </w:rPr>
    </w:pPr>
    <w:r>
      <w:rPr>
        <w:rFonts w:hint="default" w:ascii="Times New Roman" w:hAnsi="Times New Roman" w:cs="Times New Roman"/>
        <w:sz w:val="16"/>
        <w:szCs w:val="16"/>
        <w:lang w:val="ru-RU"/>
      </w:rPr>
      <w:t>20</w:t>
    </w:r>
    <w:r>
      <w:rPr>
        <w:rFonts w:hint="default" w:ascii="Times New Roman" w:hAnsi="Times New Roman" w:cs="Times New Roman"/>
        <w:sz w:val="16"/>
        <w:szCs w:val="16"/>
      </w:rPr>
      <w:t>.09.</w:t>
    </w:r>
    <w:r>
      <w:rPr>
        <w:rFonts w:hint="default" w:ascii="Times New Roman" w:hAnsi="Times New Roman" w:cs="Times New Roman"/>
        <w:sz w:val="16"/>
        <w:szCs w:val="16"/>
        <w:lang w:val="en-US"/>
      </w:rPr>
      <w:t>202</w:t>
    </w:r>
    <w:r>
      <w:rPr>
        <w:rFonts w:hint="default" w:ascii="Times New Roman" w:hAnsi="Times New Roman" w:cs="Times New Roman"/>
        <w:sz w:val="16"/>
        <w:szCs w:val="16"/>
        <w:lang w:val="ru-RU"/>
      </w:rPr>
      <w:t>3</w:t>
    </w:r>
    <w:r>
      <w:rPr>
        <w:rFonts w:hint="default" w:ascii="Times New Roman" w:hAnsi="Times New Roman" w:cs="Times New Roman"/>
        <w:sz w:val="16"/>
        <w:szCs w:val="16"/>
      </w:rPr>
      <w:t xml:space="preserve">/11:11:15/Постановления администрации </w:t>
    </w:r>
    <w:r>
      <w:rPr>
        <w:rFonts w:hint="default" w:ascii="Times New Roman" w:hAnsi="Times New Roman" w:cs="Times New Roman"/>
        <w:sz w:val="16"/>
        <w:szCs w:val="16"/>
        <w:lang w:val="en-US"/>
      </w:rPr>
      <w:t>202</w:t>
    </w:r>
    <w:r>
      <w:rPr>
        <w:rFonts w:hint="default" w:ascii="Times New Roman" w:hAnsi="Times New Roman" w:cs="Times New Roman"/>
        <w:sz w:val="16"/>
        <w:szCs w:val="16"/>
        <w:lang w:val="ru-RU"/>
      </w:rPr>
      <w:t>3</w:t>
    </w:r>
    <w:r>
      <w:rPr>
        <w:rFonts w:hint="default" w:ascii="Times New Roman" w:hAnsi="Times New Roman" w:cs="Times New Roman"/>
        <w:sz w:val="16"/>
        <w:szCs w:val="16"/>
      </w:rPr>
      <w:t xml:space="preserve">/Постановление № </w:t>
    </w:r>
    <w:r>
      <w:rPr>
        <w:rFonts w:hint="default" w:ascii="Times New Roman" w:hAnsi="Times New Roman" w:cs="Times New Roman"/>
        <w:sz w:val="16"/>
        <w:szCs w:val="16"/>
        <w:lang w:val="ru-RU"/>
      </w:rPr>
      <w:t>51</w: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677"/>
        <w:tab w:val="right" w:pos="9355"/>
        <w:tab w:val="clear" w:pos="4153"/>
        <w:tab w:val="clear" w:pos="8306"/>
      </w:tabs>
      <w:rPr>
        <w:rFonts w:hint="default" w:ascii="Times New Roman" w:hAnsi="Times New Roman" w:cs="Times New Roman"/>
        <w:lang w:val="ru-RU"/>
      </w:rPr>
    </w:pPr>
    <w:r>
      <w:rPr>
        <w:rFonts w:hint="default" w:ascii="Times New Roman" w:hAnsi="Times New Roman" w:cs="Times New Roman"/>
        <w:sz w:val="16"/>
        <w:szCs w:val="16"/>
        <w:lang w:val="ru-RU"/>
      </w:rPr>
      <w:t>20</w:t>
    </w:r>
    <w:r>
      <w:rPr>
        <w:rFonts w:hint="default" w:ascii="Times New Roman" w:hAnsi="Times New Roman" w:cs="Times New Roman"/>
        <w:sz w:val="16"/>
        <w:szCs w:val="16"/>
      </w:rPr>
      <w:t>.09.</w:t>
    </w:r>
    <w:r>
      <w:rPr>
        <w:rFonts w:hint="default" w:ascii="Times New Roman" w:hAnsi="Times New Roman" w:cs="Times New Roman"/>
        <w:sz w:val="16"/>
        <w:szCs w:val="16"/>
        <w:lang w:val="en-US"/>
      </w:rPr>
      <w:t>202</w:t>
    </w:r>
    <w:r>
      <w:rPr>
        <w:rFonts w:hint="default" w:ascii="Times New Roman" w:hAnsi="Times New Roman" w:cs="Times New Roman"/>
        <w:sz w:val="16"/>
        <w:szCs w:val="16"/>
        <w:lang w:val="ru-RU"/>
      </w:rPr>
      <w:t>3</w:t>
    </w:r>
    <w:r>
      <w:rPr>
        <w:rFonts w:hint="default" w:ascii="Times New Roman" w:hAnsi="Times New Roman" w:cs="Times New Roman"/>
        <w:sz w:val="16"/>
        <w:szCs w:val="16"/>
      </w:rPr>
      <w:t xml:space="preserve">/11:11:15/Постановления администрации </w:t>
    </w:r>
    <w:r>
      <w:rPr>
        <w:rFonts w:hint="default" w:ascii="Times New Roman" w:hAnsi="Times New Roman" w:cs="Times New Roman"/>
        <w:sz w:val="16"/>
        <w:szCs w:val="16"/>
        <w:lang w:val="en-US"/>
      </w:rPr>
      <w:t>202</w:t>
    </w:r>
    <w:r>
      <w:rPr>
        <w:rFonts w:hint="default" w:ascii="Times New Roman" w:hAnsi="Times New Roman" w:cs="Times New Roman"/>
        <w:sz w:val="16"/>
        <w:szCs w:val="16"/>
        <w:lang w:val="ru-RU"/>
      </w:rPr>
      <w:t>3</w:t>
    </w:r>
    <w:r>
      <w:rPr>
        <w:rFonts w:hint="default" w:ascii="Times New Roman" w:hAnsi="Times New Roman" w:cs="Times New Roman"/>
        <w:sz w:val="16"/>
        <w:szCs w:val="16"/>
      </w:rPr>
      <w:t xml:space="preserve">/Постановление № </w:t>
    </w:r>
    <w:r>
      <w:rPr>
        <w:rFonts w:hint="default" w:ascii="Times New Roman" w:hAnsi="Times New Roman" w:cs="Times New Roman"/>
        <w:sz w:val="16"/>
        <w:szCs w:val="16"/>
        <w:lang w:val="ru-RU"/>
      </w:rPr>
      <w:t>51/Положение о комиссии по поступлению и выбытию активов</w:t>
    </w:r>
  </w:p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9470DC"/>
    <w:multiLevelType w:val="multilevel"/>
    <w:tmpl w:val="0E9470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8E9540B"/>
    <w:multiLevelType w:val="multilevel"/>
    <w:tmpl w:val="18E954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16C5D28"/>
    <w:multiLevelType w:val="multilevel"/>
    <w:tmpl w:val="216C5D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77B611C"/>
    <w:multiLevelType w:val="multilevel"/>
    <w:tmpl w:val="277B611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4040062F"/>
    <w:multiLevelType w:val="multilevel"/>
    <w:tmpl w:val="404006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41161F0A"/>
    <w:multiLevelType w:val="multilevel"/>
    <w:tmpl w:val="41161F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A142E72"/>
    <w:multiLevelType w:val="multilevel"/>
    <w:tmpl w:val="4A142E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BFF4370"/>
    <w:multiLevelType w:val="multilevel"/>
    <w:tmpl w:val="4BFF43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51A0B0E"/>
    <w:multiLevelType w:val="multilevel"/>
    <w:tmpl w:val="551A0B0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3A87221"/>
    <w:multiLevelType w:val="multilevel"/>
    <w:tmpl w:val="63A872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6FCD56A3"/>
    <w:multiLevelType w:val="multilevel"/>
    <w:tmpl w:val="6FCD56A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29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77B70A64"/>
    <w:multiLevelType w:val="multilevel"/>
    <w:tmpl w:val="77B70A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794F2754"/>
    <w:multiLevelType w:val="multilevel"/>
    <w:tmpl w:val="794F27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08"/>
    <w:rsid w:val="00002955"/>
    <w:rsid w:val="000936AA"/>
    <w:rsid w:val="00556808"/>
    <w:rsid w:val="00CC2752"/>
    <w:rsid w:val="11C23F30"/>
    <w:rsid w:val="1C661BA6"/>
    <w:rsid w:val="28D13025"/>
    <w:rsid w:val="2AB4793C"/>
    <w:rsid w:val="2BF15B26"/>
    <w:rsid w:val="2D8125CE"/>
    <w:rsid w:val="35895362"/>
    <w:rsid w:val="41231613"/>
    <w:rsid w:val="44DC0C08"/>
    <w:rsid w:val="52C53565"/>
    <w:rsid w:val="6E4965FC"/>
    <w:rsid w:val="746C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11</Pages>
  <Words>2898</Words>
  <Characters>16524</Characters>
  <Lines>137</Lines>
  <Paragraphs>38</Paragraphs>
  <TotalTime>3</TotalTime>
  <ScaleCrop>false</ScaleCrop>
  <LinksUpToDate>false</LinksUpToDate>
  <CharactersWithSpaces>19384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2023-09-20T05:40:00Z</dcterms:created>
  <dc:creator>SSA</dc:creator>
  <cp:lastModifiedBy>User</cp:lastModifiedBy>
  <dcterms:modified xsi:type="dcterms:W3CDTF">2023-10-02T08:51:27Z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386182F858E24D4681C81F59787D3A40_12</vt:lpwstr>
  </property>
</Properties>
</file>